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鄂尔多斯市第四人民医院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p>
    <w:p>
      <w:pPr>
        <w:numPr>
          <w:ilvl w:val="0"/>
          <w:numId w:val="0"/>
        </w:numPr>
        <w:ind w:left="0" w:right="0" w:firstLine="1500"/>
        <w:rPr>
          <w:rFonts w:hint="eastAsia"/>
          <w:b w:val="0"/>
          <w:sz w:val="28"/>
          <w:szCs w:val="28"/>
          <w:lang w:val="en-US" w:eastAsia="zh-CN"/>
        </w:rPr>
      </w:pPr>
    </w:p>
    <w:p>
      <w:pPr>
        <w:numPr>
          <w:ilvl w:val="0"/>
          <w:numId w:val="0"/>
        </w:numPr>
        <w:ind w:left="0" w:right="0" w:firstLine="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                 </w:t>
      </w: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视频会议系统</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 xml:space="preserve">  2023年    月    日</w:t>
      </w:r>
    </w:p>
    <w:p>
      <w:pPr>
        <w:numPr>
          <w:ilvl w:val="0"/>
          <w:numId w:val="0"/>
        </w:numPr>
        <w:ind w:left="0" w:right="0" w:firstLine="0"/>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default" w:ascii="宋体" w:hAnsi="宋体" w:eastAsia="宋体" w:cs="宋体"/>
          <w:b w:val="0"/>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第一章 产品信息</w:t>
      </w:r>
    </w:p>
    <w:p>
      <w:pPr>
        <w:jc w:val="left"/>
        <w:rPr>
          <w:rFonts w:hint="eastAsia" w:ascii="黑体" w:hAnsi="黑体" w:eastAsia="黑体" w:cs="黑体"/>
          <w:bCs/>
          <w:kern w:val="44"/>
          <w:sz w:val="24"/>
          <w:szCs w:val="24"/>
          <w:lang w:val="zh-CN"/>
        </w:rPr>
      </w:pPr>
      <w:r>
        <w:rPr>
          <w:rFonts w:hint="eastAsia" w:ascii="黑体" w:hAnsi="黑体" w:eastAsia="黑体" w:cs="黑体"/>
          <w:bCs/>
          <w:kern w:val="44"/>
          <w:sz w:val="24"/>
          <w:szCs w:val="24"/>
          <w:lang w:val="zh-CN"/>
        </w:rPr>
        <w:t>一.主要商务要求</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3"/>
        <w:gridCol w:w="2428"/>
        <w:gridCol w:w="5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428" w:type="dxa"/>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项目名称</w:t>
            </w:r>
          </w:p>
        </w:tc>
        <w:tc>
          <w:tcPr>
            <w:tcW w:w="5031" w:type="dxa"/>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视频会议系统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2428" w:type="dxa"/>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预算金额</w:t>
            </w:r>
          </w:p>
        </w:tc>
        <w:tc>
          <w:tcPr>
            <w:tcW w:w="5031" w:type="dxa"/>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2428" w:type="dxa"/>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交货使用时间</w:t>
            </w:r>
          </w:p>
        </w:tc>
        <w:tc>
          <w:tcPr>
            <w:tcW w:w="5031" w:type="dxa"/>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合同签订后10个工作日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2428" w:type="dxa"/>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单位</w:t>
            </w:r>
          </w:p>
        </w:tc>
        <w:tc>
          <w:tcPr>
            <w:tcW w:w="5031" w:type="dxa"/>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2428" w:type="dxa"/>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付款方式</w:t>
            </w:r>
          </w:p>
        </w:tc>
        <w:tc>
          <w:tcPr>
            <w:tcW w:w="5031" w:type="dxa"/>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产品验收合格正常使用后，支付总货款的90%；质保金为总金额的10%，待质保期到期后若没有发生质量等问题一次性付清。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2428" w:type="dxa"/>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质保期</w:t>
            </w:r>
          </w:p>
        </w:tc>
        <w:tc>
          <w:tcPr>
            <w:tcW w:w="5031" w:type="dxa"/>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2428" w:type="dxa"/>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采购清单</w:t>
            </w:r>
          </w:p>
        </w:tc>
        <w:tc>
          <w:tcPr>
            <w:tcW w:w="5031" w:type="dxa"/>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采购高清视频会议终端1台，高清摄像机1台，麦克风1支，公私网穿越1个，VP9850MCU端口1个，支架1个。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7459" w:type="dxa"/>
            <w:gridSpan w:val="2"/>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（1）所购产品需实现与国家卫健委、内蒙古自治区卫健委、鄂尔多斯市卫健委远程视频会议互通互联。</w:t>
            </w:r>
          </w:p>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（2）VP9850MCU端口终身授权。</w:t>
            </w:r>
          </w:p>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（3）公私网穿越终身授权。</w:t>
            </w:r>
          </w:p>
        </w:tc>
      </w:tr>
    </w:tbl>
    <w:p>
      <w:pPr>
        <w:jc w:val="left"/>
        <w:rPr>
          <w:rFonts w:hint="eastAsia" w:ascii="宋体" w:hAnsi="宋体" w:eastAsia="宋体"/>
          <w:bCs/>
          <w:kern w:val="44"/>
          <w:sz w:val="24"/>
          <w:szCs w:val="24"/>
          <w:lang w:val="en-US" w:eastAsia="zh-CN"/>
        </w:rPr>
      </w:pPr>
    </w:p>
    <w:p>
      <w:pPr>
        <w:jc w:val="left"/>
        <w:rPr>
          <w:rFonts w:hint="eastAsia" w:ascii="黑体" w:hAnsi="黑体" w:eastAsia="黑体" w:cs="黑体"/>
          <w:bCs/>
          <w:kern w:val="44"/>
          <w:sz w:val="24"/>
          <w:szCs w:val="24"/>
          <w:lang w:val="en-US" w:eastAsia="zh-CN"/>
        </w:rPr>
      </w:pPr>
      <w:r>
        <w:rPr>
          <w:rFonts w:hint="eastAsia" w:ascii="黑体" w:hAnsi="黑体" w:eastAsia="黑体" w:cs="黑体"/>
          <w:bCs/>
          <w:kern w:val="44"/>
          <w:sz w:val="24"/>
          <w:szCs w:val="24"/>
          <w:lang w:val="en-US" w:eastAsia="zh-CN"/>
        </w:rPr>
        <w:t>二、项目详细信息</w:t>
      </w:r>
    </w:p>
    <w:p>
      <w:pPr>
        <w:spacing w:line="240" w:lineRule="auto"/>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详见附件1</w:t>
      </w:r>
    </w:p>
    <w:p>
      <w:pPr>
        <w:spacing w:line="360" w:lineRule="auto"/>
        <w:ind w:firstLine="240" w:firstLineChars="100"/>
        <w:rPr>
          <w:rFonts w:hint="eastAsia" w:ascii="黑体" w:hAnsi="黑体" w:eastAsia="黑体" w:cs="黑体"/>
          <w:b w:val="0"/>
          <w:bCs/>
          <w:sz w:val="24"/>
          <w:szCs w:val="24"/>
        </w:rPr>
      </w:pPr>
      <w:r>
        <w:rPr>
          <w:rFonts w:hint="eastAsia" w:ascii="黑体" w:hAnsi="黑体" w:eastAsia="黑体" w:cs="黑体"/>
          <w:b w:val="0"/>
          <w:bCs/>
          <w:sz w:val="24"/>
          <w:szCs w:val="24"/>
          <w:lang w:val="en-US" w:eastAsia="zh-CN"/>
        </w:rPr>
        <w:t>三</w:t>
      </w:r>
      <w:r>
        <w:rPr>
          <w:rFonts w:hint="eastAsia" w:ascii="黑体" w:hAnsi="黑体" w:eastAsia="黑体" w:cs="黑体"/>
          <w:b w:val="0"/>
          <w:bCs/>
          <w:sz w:val="24"/>
          <w:szCs w:val="24"/>
        </w:rPr>
        <w:t xml:space="preserve">、评标方法及评标细则要求 </w:t>
      </w:r>
    </w:p>
    <w:tbl>
      <w:tblPr>
        <w:tblStyle w:val="7"/>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1.投标人是法人的审查会计师事务所出具的202</w:t>
            </w:r>
            <w:r>
              <w:rPr>
                <w:rFonts w:hint="eastAsia" w:ascii="宋体" w:hAnsi="宋体" w:eastAsia="宋体" w:cs="宋体"/>
                <w:sz w:val="21"/>
                <w:szCs w:val="21"/>
                <w:lang w:val="en-US" w:eastAsia="zh-CN"/>
              </w:rPr>
              <w:t>1</w:t>
            </w:r>
            <w:r>
              <w:rPr>
                <w:rFonts w:hint="eastAsia" w:ascii="宋体" w:hAnsi="宋体" w:eastAsia="宋体" w:cs="宋体"/>
                <w:sz w:val="21"/>
                <w:szCs w:val="21"/>
              </w:rPr>
              <w:t>年度财务审计报告</w:t>
            </w:r>
            <w:r>
              <w:rPr>
                <w:rFonts w:hint="eastAsia" w:ascii="宋体" w:hAnsi="宋体" w:eastAsia="宋体" w:cs="宋体"/>
                <w:sz w:val="21"/>
                <w:szCs w:val="21"/>
                <w:lang w:val="en-US" w:eastAsia="zh-CN"/>
              </w:rPr>
              <w:t>或出具银行资信证明</w:t>
            </w:r>
            <w:bookmarkStart w:id="1" w:name="_GoBack"/>
            <w:bookmarkEnd w:id="1"/>
            <w:r>
              <w:rPr>
                <w:rFonts w:hint="eastAsia" w:ascii="宋体" w:hAnsi="宋体" w:eastAsia="宋体" w:cs="宋体"/>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vAlign w:val="center"/>
          </w:tcPr>
          <w:p/>
        </w:tc>
        <w:tc>
          <w:tcPr>
            <w:tcW w:w="1970"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Style w:val="2"/>
        <w:rPr>
          <w:rFonts w:hint="eastAsia"/>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东胜区罕台镇鄂尔多斯市第四人民医院行政楼一楼101室 总务科 </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地点：东胜区罕台镇鄂尔多斯市第四人民医院二楼会议室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我院总务科以书面形式向成交供应商发出中标书，中标通知书是合同的重要组成部分，对采购人和成交供应商具有同等法律效力。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1"/>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电话：15149684760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right="0" w:firstLine="480" w:firstLineChars="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（三）在投标过程中存在陪标、串标、扰乱秩序等不良行为；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（四）中标后10个工作日内无正当理由未签订采购合同或拒绝签订采购合同；如有正当理由的，需提供经管理科室负责人及其分管院长签字的情况说明交招标办备案后解除。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（五）开标后经采购小组审查招标文件，有虚假应标、串标、陪标或者围标行为的（例如呈现规律性报价、等差或者等比排列；报价绑定、建立攻守联盟等）；投标资料格式、内容等雷同的。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（六）中标后不履行招标公告要求，例如不按时完工或交货、不履行质保条款、将项目私自转包等；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（七）所供货物低于参数要求、工程项目未按要求施工，未能通过验收，存在欺诈行为等；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（八）无故弃标，无故弃标的厂家不予退还投标保证金或者履约保证金（对在规定时间内不供货、不弃标的厂家在合同条款中要设置院方强制解除合同条款）。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（九）经我院认定的其他投标不良行为。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1.违反第1项、第2项、第3项、第4项条款的，自确定之日起，一年内不允许再次参加医院的招标采购活动。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2.违反第5项、第6项、第7项条款的，自确定之日起，三年内不允许再次参加医院的招标采购活动。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3.违反第8项及其他行为造成不良影响的，自确定之日起，永久不允许参加医院的招标采购活动。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tabs>
          <w:tab w:val="left" w:pos="2715"/>
        </w:tabs>
        <w:spacing w:line="360" w:lineRule="auto"/>
        <w:ind w:left="0" w:right="0" w:firstLine="0"/>
        <w:jc w:val="both"/>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ab/>
      </w:r>
    </w:p>
    <w:p>
      <w:pPr>
        <w:numPr>
          <w:ilvl w:val="0"/>
          <w:numId w:val="0"/>
        </w:numPr>
        <w:tabs>
          <w:tab w:val="left" w:pos="2715"/>
        </w:tabs>
        <w:spacing w:line="360" w:lineRule="auto"/>
        <w:ind w:left="0" w:right="0" w:firstLine="0"/>
        <w:jc w:val="both"/>
        <w:rPr>
          <w:rFonts w:hint="eastAsia" w:asciiTheme="minorEastAsia" w:hAnsiTheme="minorEastAsia"/>
          <w:b/>
          <w:sz w:val="32"/>
          <w:szCs w:val="32"/>
          <w:lang w:val="en-US" w:eastAsia="zh-CN"/>
        </w:rPr>
      </w:pPr>
    </w:p>
    <w:p>
      <w:pPr>
        <w:numPr>
          <w:ilvl w:val="0"/>
          <w:numId w:val="0"/>
        </w:numPr>
        <w:tabs>
          <w:tab w:val="left" w:pos="2715"/>
        </w:tabs>
        <w:spacing w:line="360" w:lineRule="auto"/>
        <w:ind w:left="0" w:right="0" w:firstLine="0"/>
        <w:jc w:val="both"/>
        <w:rPr>
          <w:rFonts w:hint="eastAsia" w:asciiTheme="minorEastAsia" w:hAnsiTheme="minorEastAsia"/>
          <w:b/>
          <w:sz w:val="32"/>
          <w:szCs w:val="32"/>
          <w:lang w:val="en-US" w:eastAsia="zh-CN"/>
        </w:rPr>
      </w:pPr>
    </w:p>
    <w:p>
      <w:pPr>
        <w:numPr>
          <w:ilvl w:val="0"/>
          <w:numId w:val="0"/>
        </w:numPr>
        <w:tabs>
          <w:tab w:val="left" w:pos="2715"/>
        </w:tabs>
        <w:spacing w:line="360" w:lineRule="auto"/>
        <w:ind w:left="0" w:right="0" w:firstLine="0"/>
        <w:jc w:val="both"/>
        <w:rPr>
          <w:rFonts w:hint="eastAsia" w:asciiTheme="minorEastAsia" w:hAnsiTheme="minorEastAsia"/>
          <w:b/>
          <w:sz w:val="32"/>
          <w:szCs w:val="32"/>
          <w:lang w:val="en-US" w:eastAsia="zh-CN"/>
        </w:rPr>
      </w:pPr>
    </w:p>
    <w:p>
      <w:pPr>
        <w:numPr>
          <w:ilvl w:val="0"/>
          <w:numId w:val="0"/>
        </w:numPr>
        <w:tabs>
          <w:tab w:val="left" w:pos="2715"/>
        </w:tabs>
        <w:spacing w:line="360" w:lineRule="auto"/>
        <w:ind w:left="0" w:right="0" w:firstLine="0"/>
        <w:jc w:val="both"/>
        <w:rPr>
          <w:rFonts w:hint="eastAsia" w:asciiTheme="minorEastAsia" w:hAnsiTheme="minorEastAsia"/>
          <w:b/>
          <w:sz w:val="32"/>
          <w:szCs w:val="32"/>
          <w:lang w:val="en-US" w:eastAsia="zh-CN"/>
        </w:rPr>
      </w:pPr>
    </w:p>
    <w:p>
      <w:pPr>
        <w:numPr>
          <w:ilvl w:val="0"/>
          <w:numId w:val="0"/>
        </w:numPr>
        <w:tabs>
          <w:tab w:val="left" w:pos="2715"/>
        </w:tabs>
        <w:spacing w:line="360" w:lineRule="auto"/>
        <w:ind w:left="0" w:right="0" w:firstLine="0"/>
        <w:jc w:val="both"/>
        <w:rPr>
          <w:rFonts w:hint="eastAsia" w:asciiTheme="minorEastAsia" w:hAnsiTheme="minorEastAsia"/>
          <w:b/>
          <w:sz w:val="32"/>
          <w:szCs w:val="32"/>
          <w:lang w:val="en-US" w:eastAsia="zh-CN"/>
        </w:rPr>
      </w:pPr>
    </w:p>
    <w:p>
      <w:pPr>
        <w:numPr>
          <w:ilvl w:val="0"/>
          <w:numId w:val="0"/>
        </w:numPr>
        <w:tabs>
          <w:tab w:val="left" w:pos="2715"/>
        </w:tabs>
        <w:spacing w:line="360" w:lineRule="auto"/>
        <w:ind w:left="0" w:right="0" w:firstLine="0"/>
        <w:jc w:val="both"/>
        <w:rPr>
          <w:rFonts w:hint="eastAsia" w:asciiTheme="minorEastAsia" w:hAnsiTheme="minorEastAsia"/>
          <w:b/>
          <w:sz w:val="32"/>
          <w:szCs w:val="32"/>
          <w:lang w:val="en-US" w:eastAsia="zh-CN"/>
        </w:rPr>
      </w:pPr>
    </w:p>
    <w:p>
      <w:pPr>
        <w:numPr>
          <w:ilvl w:val="0"/>
          <w:numId w:val="0"/>
        </w:numPr>
        <w:tabs>
          <w:tab w:val="left" w:pos="2715"/>
        </w:tabs>
        <w:spacing w:line="360" w:lineRule="auto"/>
        <w:ind w:left="0" w:right="0" w:firstLine="0"/>
        <w:jc w:val="both"/>
        <w:rPr>
          <w:rFonts w:hint="eastAsia" w:asciiTheme="minorEastAsia" w:hAnsiTheme="minorEastAsia"/>
          <w:b/>
          <w:sz w:val="32"/>
          <w:szCs w:val="32"/>
          <w:lang w:val="en-US" w:eastAsia="zh-CN"/>
        </w:rPr>
      </w:pPr>
    </w:p>
    <w:p>
      <w:pPr>
        <w:numPr>
          <w:ilvl w:val="0"/>
          <w:numId w:val="0"/>
        </w:numPr>
        <w:tabs>
          <w:tab w:val="left" w:pos="2715"/>
        </w:tabs>
        <w:spacing w:line="360" w:lineRule="auto"/>
        <w:ind w:left="0" w:right="0" w:firstLine="0"/>
        <w:jc w:val="both"/>
        <w:rPr>
          <w:rFonts w:hint="eastAsia" w:asciiTheme="minorEastAsia" w:hAnsiTheme="minorEastAsia"/>
          <w:b/>
          <w:sz w:val="32"/>
          <w:szCs w:val="32"/>
          <w:lang w:val="en-US" w:eastAsia="zh-CN"/>
        </w:rPr>
      </w:pPr>
    </w:p>
    <w:p>
      <w:pPr>
        <w:numPr>
          <w:ilvl w:val="0"/>
          <w:numId w:val="0"/>
        </w:numPr>
        <w:tabs>
          <w:tab w:val="left" w:pos="2715"/>
        </w:tabs>
        <w:spacing w:line="360" w:lineRule="auto"/>
        <w:ind w:left="0" w:right="0" w:firstLine="0"/>
        <w:jc w:val="both"/>
        <w:rPr>
          <w:rFonts w:hint="eastAsia" w:asciiTheme="minorEastAsia" w:hAnsiTheme="minorEastAsia"/>
          <w:b/>
          <w:sz w:val="32"/>
          <w:szCs w:val="32"/>
          <w:lang w:val="en-US" w:eastAsia="zh-CN"/>
        </w:rPr>
      </w:pPr>
    </w:p>
    <w:p>
      <w:pPr>
        <w:numPr>
          <w:ilvl w:val="0"/>
          <w:numId w:val="0"/>
        </w:numPr>
        <w:tabs>
          <w:tab w:val="left" w:pos="2715"/>
        </w:tabs>
        <w:spacing w:line="360" w:lineRule="auto"/>
        <w:ind w:left="0" w:right="0" w:firstLine="0"/>
        <w:jc w:val="both"/>
        <w:rPr>
          <w:rFonts w:hint="eastAsia" w:asciiTheme="minorEastAsia" w:hAnsiTheme="minorEastAsia"/>
          <w:b/>
          <w:sz w:val="32"/>
          <w:szCs w:val="32"/>
          <w:lang w:val="en-US" w:eastAsia="zh-CN"/>
        </w:rPr>
      </w:pPr>
    </w:p>
    <w:p>
      <w:pPr>
        <w:numPr>
          <w:ilvl w:val="0"/>
          <w:numId w:val="0"/>
        </w:numPr>
        <w:tabs>
          <w:tab w:val="left" w:pos="2715"/>
        </w:tabs>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宋体" w:hAnsi="宋体" w:eastAsia="宋体" w:cs="宋体"/>
          <w:b/>
          <w:bCs w:val="0"/>
          <w:sz w:val="28"/>
          <w:szCs w:val="28"/>
        </w:rPr>
      </w:pPr>
      <w:r>
        <w:rPr>
          <w:rFonts w:hint="eastAsia" w:ascii="宋体" w:hAnsi="宋体" w:eastAsia="宋体" w:cs="宋体"/>
          <w:b/>
          <w:bCs w:val="0"/>
          <w:sz w:val="28"/>
          <w:szCs w:val="28"/>
          <w:lang w:val="en-US" w:eastAsia="zh-CN"/>
        </w:rPr>
        <w:t>第三章 投标</w:t>
      </w:r>
      <w:r>
        <w:rPr>
          <w:rFonts w:hint="eastAsia" w:ascii="宋体" w:hAnsi="宋体" w:eastAsia="宋体" w:cs="宋体"/>
          <w:b/>
          <w:bCs w:val="0"/>
          <w:sz w:val="28"/>
          <w:szCs w:val="28"/>
        </w:rPr>
        <w:t>文件格式与要求</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0"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2"/>
        <w:rPr>
          <w:rFonts w:hint="eastAsia"/>
          <w:color w:val="000000"/>
        </w:rPr>
      </w:pPr>
    </w:p>
    <w:p/>
    <w:p/>
    <w:p/>
    <w:p/>
    <w:p>
      <w:pPr>
        <w:pStyle w:val="2"/>
        <w:rPr>
          <w:color w:val="000000"/>
        </w:rPr>
      </w:pPr>
      <w:r>
        <w:rPr>
          <w:rFonts w:hint="eastAsia"/>
          <w:color w:val="000000"/>
        </w:rPr>
        <w:t>（封面）</w:t>
      </w:r>
      <w:bookmarkEnd w:id="0"/>
    </w:p>
    <w:p>
      <w:pPr>
        <w:jc w:val="center"/>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w:t>
      </w:r>
      <w:r>
        <w:rPr>
          <w:rFonts w:hint="eastAsia" w:ascii="黑体" w:hAnsi="黑体" w:eastAsia="黑体" w:cs="黑体"/>
          <w:b/>
          <w:color w:val="000000"/>
          <w:sz w:val="36"/>
          <w:szCs w:val="36"/>
          <w:lang w:eastAsia="zh-CN"/>
        </w:rPr>
        <w:t>第四人民</w:t>
      </w:r>
      <w:r>
        <w:rPr>
          <w:rFonts w:hint="eastAsia" w:ascii="黑体" w:hAnsi="黑体" w:eastAsia="黑体" w:cs="黑体"/>
          <w:b/>
          <w:color w:val="000000"/>
          <w:sz w:val="36"/>
          <w:szCs w:val="36"/>
        </w:rPr>
        <w:t>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名称</w:t>
      </w:r>
      <w:r>
        <w:rPr>
          <w:rFonts w:hint="eastAsia" w:ascii="黑体" w:hAnsi="黑体" w:eastAsia="黑体" w:cs="黑体"/>
          <w:b/>
          <w:color w:val="000000"/>
          <w:sz w:val="72"/>
          <w:szCs w:val="72"/>
          <w:lang w:val="en-US" w:eastAsia="zh-CN"/>
        </w:rPr>
        <w:t>）</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致：鄂尔多斯市第四人民医院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一、开标一览表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rPr>
          <w:rFonts w:hint="default" w:ascii="宋体" w:hAnsi="宋体" w:eastAsia="宋体"/>
          <w:sz w:val="24"/>
          <w:szCs w:val="24"/>
          <w:lang w:val="en-US" w:eastAsia="zh-CN"/>
        </w:rPr>
      </w:pPr>
    </w:p>
    <w:p>
      <w:pPr>
        <w:pStyle w:val="2"/>
        <w:jc w:val="cente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分项报价</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pStyle w:val="2"/>
        <w:rPr>
          <w:rFonts w:ascii="宋体" w:hAnsi="宋体" w:eastAsia="宋体"/>
          <w:sz w:val="24"/>
          <w:szCs w:val="24"/>
          <w:lang w:val="zh-CN"/>
        </w:rPr>
      </w:pPr>
    </w:p>
    <w:p>
      <w:pPr>
        <w:rPr>
          <w:rFonts w:ascii="宋体" w:hAnsi="宋体" w:eastAsia="宋体"/>
          <w:sz w:val="24"/>
          <w:szCs w:val="24"/>
          <w:lang w:val="zh-CN"/>
        </w:rPr>
      </w:pPr>
    </w:p>
    <w:p>
      <w:pPr>
        <w:pStyle w:val="2"/>
        <w:rPr>
          <w:rFonts w:ascii="宋体" w:hAnsi="宋体" w:eastAsia="宋体"/>
          <w:sz w:val="24"/>
          <w:szCs w:val="24"/>
          <w:lang w:val="zh-CN"/>
        </w:rPr>
      </w:pPr>
    </w:p>
    <w:p>
      <w:pPr>
        <w:rPr>
          <w:rFonts w:ascii="宋体" w:hAnsi="宋体" w:eastAsia="宋体"/>
          <w:sz w:val="24"/>
          <w:szCs w:val="24"/>
          <w:lang w:val="zh-CN"/>
        </w:rPr>
      </w:pPr>
    </w:p>
    <w:p>
      <w:pPr>
        <w:pStyle w:val="2"/>
        <w:rPr>
          <w:rFonts w:ascii="宋体" w:hAnsi="宋体" w:eastAsia="宋体"/>
          <w:sz w:val="24"/>
          <w:szCs w:val="24"/>
          <w:lang w:val="zh-CN"/>
        </w:rPr>
      </w:pPr>
    </w:p>
    <w:p>
      <w:pPr>
        <w:rPr>
          <w:rFonts w:ascii="宋体" w:hAnsi="宋体" w:eastAsia="宋体"/>
          <w:sz w:val="24"/>
          <w:szCs w:val="24"/>
          <w:lang w:val="zh-CN"/>
        </w:rPr>
      </w:pPr>
    </w:p>
    <w:p>
      <w:pPr>
        <w:pStyle w:val="2"/>
        <w:rPr>
          <w:rFonts w:ascii="宋体" w:hAnsi="宋体" w:eastAsia="宋体"/>
          <w:sz w:val="24"/>
          <w:szCs w:val="24"/>
          <w:lang w:val="zh-CN"/>
        </w:rPr>
      </w:pPr>
    </w:p>
    <w:p>
      <w:pPr>
        <w:rPr>
          <w:lang w:val="zh-CN"/>
        </w:rPr>
      </w:pPr>
    </w:p>
    <w:p>
      <w:pPr>
        <w:rPr>
          <w:rFonts w:ascii="宋体" w:hAnsi="宋体" w:eastAsia="宋体"/>
          <w:sz w:val="24"/>
          <w:szCs w:val="24"/>
          <w:lang w:val="zh-CN"/>
        </w:rPr>
      </w:pPr>
    </w:p>
    <w:p>
      <w:pPr>
        <w:spacing w:line="360" w:lineRule="auto"/>
        <w:jc w:val="left"/>
        <w:rPr>
          <w:rFonts w:hint="eastAsia" w:ascii="宋体" w:hAnsi="宋体" w:eastAsia="宋体"/>
          <w:b/>
          <w:color w:val="000000"/>
          <w:sz w:val="24"/>
          <w:szCs w:val="24"/>
        </w:rPr>
      </w:pPr>
      <w:r>
        <w:rPr>
          <w:rFonts w:hint="eastAsia" w:ascii="黑体" w:hAnsi="黑体" w:eastAsia="黑体" w:cs="黑体"/>
          <w:b w:val="0"/>
          <w:bCs/>
          <w:color w:val="000000"/>
          <w:sz w:val="32"/>
          <w:szCs w:val="32"/>
          <w:lang w:val="en-US" w:eastAsia="zh-CN"/>
        </w:rPr>
        <w:t>二、</w:t>
      </w:r>
      <w:r>
        <w:rPr>
          <w:rFonts w:hint="eastAsia" w:ascii="黑体" w:hAnsi="黑体" w:eastAsia="黑体" w:cs="黑体"/>
          <w:b w:val="0"/>
          <w:bCs/>
          <w:color w:val="000000"/>
          <w:sz w:val="32"/>
          <w:szCs w:val="32"/>
          <w:lang w:eastAsia="zh-CN"/>
        </w:rPr>
        <w:t>报名产品</w:t>
      </w:r>
      <w:r>
        <w:rPr>
          <w:rFonts w:hint="eastAsia" w:ascii="黑体" w:hAnsi="黑体" w:eastAsia="黑体" w:cs="黑体"/>
          <w:b w:val="0"/>
          <w:bCs/>
          <w:color w:val="000000"/>
          <w:sz w:val="32"/>
          <w:szCs w:val="32"/>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bl>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三、</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鄂尔多斯市第四人民医院：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四、投标人基本情况表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3"/>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提供具有独立承担民事责任的能力的证明材料 </w:t>
      </w: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3"/>
        </w:numPr>
        <w:tabs>
          <w:tab w:val="left" w:pos="606"/>
        </w:tabs>
        <w:wordWrap w:val="0"/>
        <w:autoSpaceDE/>
        <w:autoSpaceDN/>
        <w:bidi w:val="0"/>
        <w:snapToGrid/>
        <w:spacing w:line="360" w:lineRule="auto"/>
        <w:ind w:left="0" w:leftChars="0" w:right="0" w:firstLine="0" w:firstLineChars="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提供具有良好的商业信誉和健全的财务会计制度的证明材料</w:t>
      </w: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 </w:t>
      </w:r>
    </w:p>
    <w:p>
      <w:pPr>
        <w:pageBreakBefore w:val="0"/>
        <w:numPr>
          <w:ilvl w:val="0"/>
          <w:numId w:val="3"/>
        </w:numPr>
        <w:tabs>
          <w:tab w:val="left" w:pos="606"/>
        </w:tabs>
        <w:wordWrap w:val="0"/>
        <w:autoSpaceDE/>
        <w:autoSpaceDN/>
        <w:bidi w:val="0"/>
        <w:snapToGrid/>
        <w:spacing w:line="360" w:lineRule="auto"/>
        <w:ind w:left="0" w:leftChars="0" w:right="0" w:firstLine="0" w:firstLineChars="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提供依法缴纳税收和社会保障资金的良好记录 </w:t>
      </w: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八、 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right="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九、业绩证明材料</w:t>
      </w: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4"/>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参加政府采购前三年内在经营活动中无重大违法记录书面声明 </w:t>
      </w: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 xml:space="preserve">十一、主要商务要求承诺书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十二、技术偏离表 </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招标技术参数要求</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投标人提供相应内容</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偏离程度</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bl>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Style w:val="2"/>
        <w:rPr>
          <w:rFonts w:hint="eastAsia" w:ascii="宋体" w:hAnsi="宋体" w:eastAsia="宋体" w:cs="宋体"/>
          <w:b/>
          <w:sz w:val="28"/>
          <w:szCs w:val="28"/>
          <w:lang w:val="en-US" w:eastAsia="zh-CN"/>
        </w:rPr>
      </w:pPr>
    </w:p>
    <w:p>
      <w:pPr>
        <w:rPr>
          <w:rFonts w:hint="eastAsia" w:ascii="宋体" w:hAnsi="宋体" w:eastAsia="宋体" w:cs="宋体"/>
          <w:b/>
          <w:sz w:val="28"/>
          <w:szCs w:val="28"/>
          <w:lang w:val="en-US" w:eastAsia="zh-CN"/>
        </w:rPr>
      </w:pPr>
    </w:p>
    <w:p>
      <w:pPr>
        <w:pStyle w:val="2"/>
        <w:rPr>
          <w:rFonts w:hint="eastAsia" w:ascii="宋体" w:hAnsi="宋体" w:eastAsia="宋体" w:cs="宋体"/>
          <w:b/>
          <w:sz w:val="28"/>
          <w:szCs w:val="28"/>
          <w:lang w:val="en-US" w:eastAsia="zh-CN"/>
        </w:rPr>
      </w:pPr>
    </w:p>
    <w:p>
      <w:pPr>
        <w:rPr>
          <w:rFonts w:hint="eastAsia" w:ascii="宋体" w:hAnsi="宋体" w:eastAsia="宋体" w:cs="宋体"/>
          <w:b/>
          <w:sz w:val="28"/>
          <w:szCs w:val="28"/>
          <w:lang w:val="en-US" w:eastAsia="zh-CN"/>
        </w:rPr>
      </w:pPr>
    </w:p>
    <w:p>
      <w:pPr>
        <w:pStyle w:val="2"/>
        <w:rPr>
          <w:rFonts w:hint="eastAsia" w:ascii="宋体" w:hAnsi="宋体" w:eastAsia="宋体" w:cs="宋体"/>
          <w:b/>
          <w:sz w:val="28"/>
          <w:szCs w:val="28"/>
          <w:lang w:val="en-US" w:eastAsia="zh-CN"/>
        </w:rPr>
      </w:pPr>
    </w:p>
    <w:p>
      <w:pPr>
        <w:rPr>
          <w:rFonts w:hint="eastAsia" w:ascii="宋体" w:hAnsi="宋体" w:eastAsia="宋体" w:cs="宋体"/>
          <w:b/>
          <w:sz w:val="28"/>
          <w:szCs w:val="28"/>
          <w:lang w:val="en-US" w:eastAsia="zh-CN"/>
        </w:rPr>
      </w:pPr>
    </w:p>
    <w:p>
      <w:pPr>
        <w:pStyle w:val="2"/>
        <w:rPr>
          <w:rFonts w:hint="eastAsia" w:ascii="宋体" w:hAnsi="宋体" w:eastAsia="宋体" w:cs="宋体"/>
          <w:b/>
          <w:sz w:val="28"/>
          <w:szCs w:val="28"/>
          <w:lang w:val="en-US" w:eastAsia="zh-CN"/>
        </w:rPr>
      </w:pPr>
    </w:p>
    <w:p>
      <w:pPr>
        <w:rPr>
          <w:rFonts w:hint="eastAsia" w:ascii="宋体" w:hAnsi="宋体" w:eastAsia="宋体" w:cs="宋体"/>
          <w:b/>
          <w:sz w:val="28"/>
          <w:szCs w:val="28"/>
          <w:lang w:val="en-US" w:eastAsia="zh-CN"/>
        </w:rPr>
      </w:pPr>
    </w:p>
    <w:p>
      <w:pPr>
        <w:pStyle w:val="2"/>
        <w:rPr>
          <w:rFonts w:hint="eastAsia" w:ascii="宋体" w:hAnsi="宋体" w:eastAsia="宋体" w:cs="宋体"/>
          <w:b/>
          <w:sz w:val="28"/>
          <w:szCs w:val="28"/>
          <w:lang w:val="en-US" w:eastAsia="zh-CN"/>
        </w:rPr>
      </w:pPr>
    </w:p>
    <w:p>
      <w:pPr>
        <w:rPr>
          <w:rFonts w:hint="eastAsia" w:ascii="宋体" w:hAnsi="宋体" w:eastAsia="宋体" w:cs="宋体"/>
          <w:b/>
          <w:sz w:val="28"/>
          <w:szCs w:val="28"/>
          <w:lang w:val="en-US" w:eastAsia="zh-CN"/>
        </w:rPr>
      </w:pPr>
    </w:p>
    <w:p>
      <w:pPr>
        <w:pStyle w:val="2"/>
        <w:rPr>
          <w:rFonts w:hint="eastAsia"/>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十三、售后服务</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十四、相关认证</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lang w:val="en-US" w:eastAsia="zh-CN"/>
        </w:rPr>
      </w:pPr>
      <w:r>
        <w:rPr>
          <w:rFonts w:hint="eastAsia" w:ascii="宋体" w:hAnsi="宋体" w:eastAsia="宋体" w:cs="宋体"/>
          <w:b/>
          <w:sz w:val="28"/>
          <w:szCs w:val="28"/>
          <w:lang w:val="en-US" w:eastAsia="zh-CN"/>
        </w:rPr>
        <w:t>十五、产品彩页</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十六、其他</w:t>
      </w:r>
    </w:p>
    <w:p>
      <w:pPr>
        <w:tabs>
          <w:tab w:val="left" w:pos="876"/>
        </w:tabs>
        <w:bidi w:val="0"/>
        <w:jc w:val="left"/>
        <w:rPr>
          <w:rFonts w:hint="eastAsia" w:ascii="宋体" w:hAnsi="宋体" w:eastAsia="宋体" w:cs="宋体"/>
          <w:b/>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2"/>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4A0860"/>
    <w:multiLevelType w:val="singleLevel"/>
    <w:tmpl w:val="BA4A0860"/>
    <w:lvl w:ilvl="0" w:tentative="0">
      <w:start w:val="5"/>
      <w:numFmt w:val="chineseCounting"/>
      <w:suff w:val="nothing"/>
      <w:lvlText w:val="%1、"/>
      <w:lvlJc w:val="left"/>
      <w:rPr>
        <w:rFonts w:hint="eastAsia"/>
      </w:rPr>
    </w:lvl>
  </w:abstractNum>
  <w:abstractNum w:abstractNumId="1">
    <w:nsid w:val="25FBF796"/>
    <w:multiLevelType w:val="singleLevel"/>
    <w:tmpl w:val="25FBF796"/>
    <w:lvl w:ilvl="0" w:tentative="0">
      <w:start w:val="10"/>
      <w:numFmt w:val="chineseCounting"/>
      <w:suff w:val="nothing"/>
      <w:lvlText w:val="%1、"/>
      <w:lvlJc w:val="left"/>
      <w:rPr>
        <w:rFonts w:hint="eastAsia"/>
      </w:rPr>
    </w:lvl>
  </w:abstractNum>
  <w:abstractNum w:abstractNumId="2">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3">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docVars>
    <w:docVar w:name="commondata" w:val="eyJoZGlkIjoiOGZmNDdkZjIyNmY0MjQyMTgwY2UwMjA0NzA4NGE3YTkifQ=="/>
  </w:docVars>
  <w:rsids>
    <w:rsidRoot w:val="00000000"/>
    <w:rsid w:val="002C273F"/>
    <w:rsid w:val="012D6373"/>
    <w:rsid w:val="019E7E7D"/>
    <w:rsid w:val="047D0B3B"/>
    <w:rsid w:val="06263A4A"/>
    <w:rsid w:val="0B9423D6"/>
    <w:rsid w:val="151F40B9"/>
    <w:rsid w:val="155067EC"/>
    <w:rsid w:val="19BD2CB7"/>
    <w:rsid w:val="23507ADC"/>
    <w:rsid w:val="2A700BE0"/>
    <w:rsid w:val="2D027B93"/>
    <w:rsid w:val="2FC378C6"/>
    <w:rsid w:val="307F0A3C"/>
    <w:rsid w:val="320A15DF"/>
    <w:rsid w:val="33A33EAB"/>
    <w:rsid w:val="33B731B1"/>
    <w:rsid w:val="36BD1418"/>
    <w:rsid w:val="37FC75FC"/>
    <w:rsid w:val="38A87722"/>
    <w:rsid w:val="3F7815D1"/>
    <w:rsid w:val="50B67110"/>
    <w:rsid w:val="52025FEF"/>
    <w:rsid w:val="59074FC9"/>
    <w:rsid w:val="5BAD6B81"/>
    <w:rsid w:val="5E2315E5"/>
    <w:rsid w:val="5EAA6F61"/>
    <w:rsid w:val="60CD2908"/>
    <w:rsid w:val="6A7F6E1A"/>
    <w:rsid w:val="6E761749"/>
    <w:rsid w:val="6EB16FD5"/>
    <w:rsid w:val="6F5104C0"/>
    <w:rsid w:val="719B7B32"/>
    <w:rsid w:val="7200308E"/>
    <w:rsid w:val="72172C27"/>
    <w:rsid w:val="7B2874FA"/>
    <w:rsid w:val="7B5E69F3"/>
    <w:rsid w:val="7EDC4056"/>
    <w:rsid w:val="7F0D164B"/>
    <w:rsid w:val="7F112C06"/>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1"/>
    <w:qFormat/>
    <w:uiPriority w:val="1"/>
    <w:pPr>
      <w:jc w:val="both"/>
    </w:pPr>
    <w:rPr>
      <w:rFonts w:asciiTheme="minorHAnsi" w:hAnsiTheme="minorHAnsi" w:eastAsiaTheme="minorEastAsia" w:cstheme="minorBidi"/>
      <w:sz w:val="21"/>
      <w:szCs w:val="21"/>
      <w:lang w:val="en-US" w:eastAsia="zh-CN" w:bidi="ar-SA"/>
    </w:rPr>
  </w:style>
  <w:style w:type="paragraph" w:styleId="3">
    <w:name w:val="heading 1"/>
    <w:basedOn w:val="1"/>
    <w:next w:val="1"/>
    <w:link w:val="12"/>
    <w:qFormat/>
    <w:uiPriority w:val="7"/>
    <w:pPr>
      <w:spacing w:before="340" w:after="330" w:line="578" w:lineRule="auto"/>
      <w:outlineLvl w:val="0"/>
    </w:pPr>
    <w:rPr>
      <w:b/>
      <w:sz w:val="44"/>
      <w:szCs w:val="44"/>
    </w:rPr>
  </w:style>
  <w:style w:type="paragraph" w:styleId="2">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character" w:default="1" w:styleId="9">
    <w:name w:val="Default Paragraph Font"/>
    <w:semiHidden/>
    <w:qFormat/>
    <w:uiPriority w:val="2"/>
  </w:style>
  <w:style w:type="table" w:default="1" w:styleId="7">
    <w:name w:val="Normal Table"/>
    <w:semiHidden/>
    <w:qFormat/>
    <w:uiPriority w:val="3"/>
    <w:tblPr>
      <w:tblCellMar>
        <w:top w:w="0" w:type="dxa"/>
        <w:left w:w="108" w:type="dxa"/>
        <w:bottom w:w="0" w:type="dxa"/>
        <w:right w:w="108" w:type="dxa"/>
      </w:tblCellMar>
    </w:tblPr>
  </w:style>
  <w:style w:type="paragraph" w:styleId="4">
    <w:name w:val="footer"/>
    <w:basedOn w:val="1"/>
    <w:qFormat/>
    <w:uiPriority w:val="151"/>
    <w:pPr>
      <w:tabs>
        <w:tab w:val="center" w:pos="4153"/>
        <w:tab w:val="right" w:pos="8306"/>
      </w:tabs>
      <w:snapToGrid w:val="0"/>
      <w:jc w:val="left"/>
    </w:pPr>
    <w:rPr>
      <w:sz w:val="18"/>
      <w:szCs w:val="18"/>
    </w:rPr>
  </w:style>
  <w:style w:type="paragraph" w:styleId="5">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6">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8">
    <w:name w:val="Table Grid"/>
    <w:basedOn w:val="7"/>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26"/>
    <w:pPr>
      <w:ind w:firstLine="200"/>
    </w:pPr>
    <w:rPr>
      <w:rFonts w:ascii="Times New Roman" w:hAnsi="Times New Roman" w:eastAsia="宋体" w:cs="Times New Roman"/>
      <w:sz w:val="28"/>
      <w:szCs w:val="28"/>
    </w:rPr>
  </w:style>
  <w:style w:type="character" w:customStyle="1" w:styleId="11">
    <w:name w:val="NormalCharacter"/>
    <w:link w:val="1"/>
    <w:qFormat/>
    <w:uiPriority w:val="154"/>
    <w:rPr>
      <w:rFonts w:asciiTheme="minorHAnsi" w:hAnsiTheme="minorHAnsi" w:eastAsiaTheme="minorEastAsia" w:cstheme="minorBidi"/>
      <w:sz w:val="21"/>
      <w:szCs w:val="21"/>
      <w:lang w:val="en-US" w:eastAsia="zh-CN" w:bidi="ar-SA"/>
    </w:rPr>
  </w:style>
  <w:style w:type="character" w:customStyle="1" w:styleId="12">
    <w:name w:val="标题 1 Char"/>
    <w:link w:val="3"/>
    <w:qFormat/>
    <w:uiPriority w:val="7"/>
    <w:rPr>
      <w:b/>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25</Pages>
  <Words>4837</Words>
  <Characters>4955</Characters>
  <Lines>0</Lines>
  <Paragraphs>0</Paragraphs>
  <TotalTime>5</TotalTime>
  <ScaleCrop>false</ScaleCrop>
  <LinksUpToDate>false</LinksUpToDate>
  <CharactersWithSpaces>5199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李娜</cp:lastModifiedBy>
  <dcterms:modified xsi:type="dcterms:W3CDTF">2023-01-11T08:32:19Z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65A321A258AA497F826948D67197805D</vt:lpwstr>
  </property>
</Properties>
</file>